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4B" w:rsidRPr="00CE1ADF" w:rsidRDefault="00CE1ADF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CE1ADF">
        <w:rPr>
          <w:rFonts w:ascii="Times New Roman" w:hAnsi="Times New Roman" w:cs="Times New Roman"/>
          <w:sz w:val="32"/>
          <w:szCs w:val="32"/>
        </w:rPr>
        <w:br/>
        <w:t xml:space="preserve"> 14 </w:t>
      </w:r>
      <w:proofErr w:type="spellStart"/>
      <w:r w:rsidRPr="00CE1ADF">
        <w:rPr>
          <w:rFonts w:ascii="Times New Roman" w:hAnsi="Times New Roman" w:cs="Times New Roman"/>
          <w:sz w:val="32"/>
          <w:szCs w:val="32"/>
        </w:rPr>
        <w:t>квітня</w:t>
      </w:r>
      <w:proofErr w:type="spellEnd"/>
      <w:r w:rsidRPr="00CE1ADF">
        <w:rPr>
          <w:rFonts w:ascii="Times New Roman" w:hAnsi="Times New Roman" w:cs="Times New Roman"/>
          <w:sz w:val="32"/>
          <w:szCs w:val="32"/>
        </w:rPr>
        <w:t xml:space="preserve"> 2020р., </w:t>
      </w:r>
      <w:proofErr w:type="spellStart"/>
      <w:r w:rsidRPr="00CE1ADF">
        <w:rPr>
          <w:rFonts w:ascii="Times New Roman" w:hAnsi="Times New Roman" w:cs="Times New Roman"/>
          <w:sz w:val="32"/>
          <w:szCs w:val="32"/>
        </w:rPr>
        <w:t>вівторок</w:t>
      </w:r>
      <w:proofErr w:type="spellEnd"/>
      <w:r w:rsidRPr="00CE1ADF">
        <w:rPr>
          <w:rFonts w:ascii="Times New Roman" w:hAnsi="Times New Roman" w:cs="Times New Roman"/>
          <w:sz w:val="32"/>
          <w:szCs w:val="32"/>
        </w:rPr>
        <w:t xml:space="preserve">, 231 </w:t>
      </w:r>
      <w:proofErr w:type="spellStart"/>
      <w:r w:rsidRPr="00CE1ADF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CE1AD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E1ADF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CE1ADF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CE1ADF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CE1A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E1ADF"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 w:rsidRPr="00CE1ADF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E1ADF">
        <w:rPr>
          <w:rFonts w:ascii="Times New Roman" w:hAnsi="Times New Roman" w:cs="Times New Roman"/>
          <w:sz w:val="32"/>
          <w:szCs w:val="32"/>
        </w:rPr>
        <w:t>Навчальна</w:t>
      </w:r>
      <w:proofErr w:type="spellEnd"/>
      <w:r w:rsidRPr="00CE1A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E1ADF">
        <w:rPr>
          <w:rFonts w:ascii="Times New Roman" w:hAnsi="Times New Roman" w:cs="Times New Roman"/>
          <w:sz w:val="32"/>
          <w:szCs w:val="32"/>
        </w:rPr>
        <w:t>дисципліна</w:t>
      </w:r>
      <w:proofErr w:type="spellEnd"/>
      <w:r w:rsidRPr="00CE1ADF">
        <w:rPr>
          <w:rFonts w:ascii="Times New Roman" w:hAnsi="Times New Roman" w:cs="Times New Roman"/>
          <w:sz w:val="32"/>
          <w:szCs w:val="32"/>
        </w:rPr>
        <w:t xml:space="preserve"> “</w:t>
      </w:r>
      <w:r>
        <w:rPr>
          <w:rFonts w:ascii="Times New Roman" w:hAnsi="Times New Roman" w:cs="Times New Roman"/>
          <w:sz w:val="32"/>
          <w:szCs w:val="32"/>
          <w:lang w:val="uk-UA"/>
        </w:rPr>
        <w:t>Загальна та спеціальна патологія»)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«Запалення»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1. Загальна характеристика запалення.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2. Патофізіологія й морфологія запалення.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3. Форми гострого запалення.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«Адаптаційні та компенсаторні процеси»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1. Характеристика понять.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2. Види пристосування (адаптації) та компенсації.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3. Механізми компенсації функцій при хворобах.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4. Адаптаційний процес.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5. Компенсація й декомпенсація порушених функцій.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Пауков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В.С.,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Литвицкий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П.Ф.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Патология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Повторити навчальний матеріал лекції «Порушення кровообігу та лімфо обігу». Матеріал, що стосується учбових питань тем  «Запалення» й «Адаптаційні та компенсаторні процеси» законспектувати. Конспекти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Доцент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А.М.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sectPr w:rsidR="0093664B" w:rsidRPr="00CE1ADF" w:rsidSect="0093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ADF"/>
    <w:rsid w:val="0093664B"/>
    <w:rsid w:val="00AD69AC"/>
    <w:rsid w:val="00C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2020-04-15T08:27:00Z</dcterms:created>
  <dcterms:modified xsi:type="dcterms:W3CDTF">2020-04-16T10:29:00Z</dcterms:modified>
</cp:coreProperties>
</file>